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6813" w14:textId="77777777" w:rsidR="00CF1133" w:rsidRDefault="007F0E28" w:rsidP="00CF1133">
      <w:pPr>
        <w:ind w:left="-710" w:firstLine="695"/>
        <w:rPr>
          <w:b/>
          <w:bCs/>
        </w:rPr>
      </w:pPr>
    </w:p>
    <w:p w14:paraId="3A61999D" w14:textId="77777777" w:rsidR="00CF1133" w:rsidRDefault="00EE2B18" w:rsidP="00CF1133">
      <w:pPr>
        <w:ind w:left="-710" w:firstLine="695"/>
        <w:rPr>
          <w:b/>
          <w:bCs/>
        </w:rPr>
      </w:pPr>
      <w:r>
        <w:rPr>
          <w:b/>
          <w:bCs/>
        </w:rPr>
        <w:t>LEP – Sub Committee</w:t>
      </w:r>
    </w:p>
    <w:p w14:paraId="4D4EE76A" w14:textId="77777777" w:rsidR="00BE3AA8" w:rsidRDefault="007F0E28" w:rsidP="00CF1133">
      <w:pPr>
        <w:ind w:left="-710" w:firstLine="695"/>
        <w:rPr>
          <w:b/>
          <w:bCs/>
        </w:rPr>
      </w:pPr>
    </w:p>
    <w:p w14:paraId="67109D01" w14:textId="77777777" w:rsidR="00BE3AA8" w:rsidRDefault="00EE2B1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14:paraId="036424DB" w14:textId="77777777" w:rsidR="00CF1133" w:rsidRPr="00BC4466" w:rsidRDefault="007F0E28" w:rsidP="00CF1133">
      <w:pPr>
        <w:spacing w:after="0" w:line="256" w:lineRule="auto"/>
        <w:ind w:left="0" w:firstLine="0"/>
        <w:rPr>
          <w:b/>
          <w:bCs/>
        </w:rPr>
      </w:pPr>
    </w:p>
    <w:p w14:paraId="33E691D8" w14:textId="77777777" w:rsidR="00BC4466" w:rsidRPr="00BC4466" w:rsidRDefault="00EE2B18" w:rsidP="00CF1133">
      <w:pPr>
        <w:spacing w:after="0" w:line="256" w:lineRule="auto"/>
        <w:ind w:left="0" w:firstLine="0"/>
        <w:rPr>
          <w:b/>
          <w:bCs/>
        </w:rPr>
      </w:pPr>
      <w:r w:rsidRPr="00BC4466">
        <w:rPr>
          <w:b/>
        </w:rPr>
        <w:t xml:space="preserve">Private and Confidential: </w:t>
      </w:r>
      <w:r>
        <w:rPr>
          <w:b/>
        </w:rPr>
        <w:t>NO</w:t>
      </w:r>
    </w:p>
    <w:p w14:paraId="2F75CC5C" w14:textId="77777777" w:rsidR="00BC4466" w:rsidRDefault="007F0E28" w:rsidP="00CF1133">
      <w:pPr>
        <w:spacing w:after="0" w:line="256" w:lineRule="auto"/>
        <w:ind w:left="0" w:firstLine="0"/>
      </w:pPr>
    </w:p>
    <w:p w14:paraId="552DA470" w14:textId="77777777" w:rsidR="00A3358A" w:rsidRDefault="00EE2B18" w:rsidP="00A3358A">
      <w:r w:rsidRPr="00987EB4">
        <w:rPr>
          <w:b/>
        </w:rPr>
        <w:t>Date:</w:t>
      </w:r>
      <w:r>
        <w:t xml:space="preserve"> </w:t>
      </w:r>
      <w:fldSimple w:instr=" DOCPROPERTY  MeetingDate  \* MERGEFORMAT ">
        <w:r>
          <w:t>Wednesday, 12 June 2019</w:t>
        </w:r>
      </w:fldSimple>
      <w:bookmarkStart w:id="0" w:name="_GoBack"/>
      <w:bookmarkEnd w:id="0"/>
    </w:p>
    <w:p w14:paraId="530A2D4F" w14:textId="77777777" w:rsidR="00A3358A" w:rsidRDefault="007F0E28" w:rsidP="00A3358A"/>
    <w:p w14:paraId="48791A9F" w14:textId="77777777" w:rsidR="00A3358A" w:rsidRDefault="00EE2B18" w:rsidP="007F0E28">
      <w:pPr>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European Social Funds (ESF) – Education and Skills Funding Agency (ESFA) Opt-in Projects Development Plans</w:t>
      </w:r>
      <w:r>
        <w:rPr>
          <w:b/>
        </w:rPr>
        <w:fldChar w:fldCharType="end"/>
      </w:r>
    </w:p>
    <w:p w14:paraId="68FF2751" w14:textId="6B871ECB" w:rsidR="00A3358A" w:rsidRDefault="00EE2B18" w:rsidP="00A3358A">
      <w:pPr>
        <w:ind w:left="0" w:firstLine="0"/>
      </w:pPr>
      <w:r>
        <w:t>Appendi</w:t>
      </w:r>
      <w:r w:rsidR="00ED73EB">
        <w:t>ces</w:t>
      </w:r>
      <w:r>
        <w:t xml:space="preserve"> </w:t>
      </w:r>
      <w:r w:rsidR="00ED73EB">
        <w:t>A</w:t>
      </w:r>
      <w:r>
        <w:t xml:space="preserve">, </w:t>
      </w:r>
      <w:r w:rsidR="00ED73EB">
        <w:t>B</w:t>
      </w:r>
      <w:r>
        <w:t xml:space="preserve"> and </w:t>
      </w:r>
      <w:r w:rsidR="00ED73EB">
        <w:t>C</w:t>
      </w:r>
      <w:r>
        <w:t xml:space="preserve"> refer</w:t>
      </w:r>
    </w:p>
    <w:p w14:paraId="1F943B4D" w14:textId="77777777" w:rsidR="00D7480F" w:rsidRDefault="007F0E28" w:rsidP="00CF1133">
      <w:pPr>
        <w:spacing w:after="0" w:line="256" w:lineRule="auto"/>
        <w:ind w:left="0" w:firstLine="0"/>
      </w:pPr>
    </w:p>
    <w:p w14:paraId="14B3A987" w14:textId="0CFA2D48" w:rsidR="00297515" w:rsidRDefault="00EE2B18" w:rsidP="007F0E28">
      <w:pPr>
        <w:ind w:left="1843" w:hanging="1843"/>
      </w:pPr>
      <w:r w:rsidRPr="00F41096">
        <w:rPr>
          <w:b/>
        </w:rPr>
        <w:t>Report Author:</w:t>
      </w:r>
      <w:r>
        <w:rPr>
          <w:b/>
        </w:rPr>
        <w:t xml:space="preserve"> </w:t>
      </w:r>
      <w:r>
        <w:t xml:space="preserve">Tracy </w:t>
      </w:r>
      <w:proofErr w:type="spellStart"/>
      <w:r>
        <w:t>Heyes</w:t>
      </w:r>
      <w:proofErr w:type="spellEnd"/>
      <w:r>
        <w:t xml:space="preserve">, Strategic Partnership Manager (Employers), </w:t>
      </w:r>
      <w:hyperlink r:id="rId8" w:history="1">
        <w:r w:rsidR="00ED73EB" w:rsidRPr="007F0E28">
          <w:rPr>
            <w:rStyle w:val="Hyperlink"/>
          </w:rPr>
          <w:t>tracy.heyes@lancashirelep.co.uk</w:t>
        </w:r>
      </w:hyperlink>
      <w:r>
        <w:t xml:space="preserve">, </w:t>
      </w:r>
    </w:p>
    <w:p w14:paraId="4B7B6E7E" w14:textId="77777777" w:rsidR="00297515" w:rsidRDefault="00EE2B18" w:rsidP="007F0E28">
      <w:pPr>
        <w:ind w:left="1843" w:firstLine="0"/>
      </w:pPr>
      <w:r>
        <w:t xml:space="preserve">Sara Gaskell, Strategic Partnership Manager (Adults), </w:t>
      </w:r>
      <w:hyperlink r:id="rId9" w:history="1">
        <w:r w:rsidRPr="004A2862">
          <w:rPr>
            <w:rStyle w:val="Hyperlink"/>
          </w:rPr>
          <w:t>sara.gaskell@lancashirelep.co.uk</w:t>
        </w:r>
      </w:hyperlink>
      <w:r>
        <w:t xml:space="preserve">, </w:t>
      </w:r>
    </w:p>
    <w:p w14:paraId="594AB86E" w14:textId="77777777" w:rsidR="00297515" w:rsidRPr="004E633B" w:rsidRDefault="00EE2B18" w:rsidP="007F0E28">
      <w:pPr>
        <w:ind w:left="1843" w:firstLine="0"/>
      </w:pPr>
      <w:r>
        <w:t xml:space="preserve">Janet Jackson, Strategic Partnership Manager (Young People), </w:t>
      </w:r>
      <w:hyperlink r:id="rId10" w:history="1">
        <w:r w:rsidRPr="004A2862">
          <w:rPr>
            <w:rStyle w:val="Hyperlink"/>
          </w:rPr>
          <w:t>janet.jackson@lancashirelep.co.uk</w:t>
        </w:r>
      </w:hyperlink>
      <w:r>
        <w:t xml:space="preserve"> </w:t>
      </w:r>
      <w:r w:rsidRPr="004E633B">
        <w:t xml:space="preserve"> </w:t>
      </w:r>
    </w:p>
    <w:p w14:paraId="229239F1" w14:textId="77777777" w:rsidR="002B3CC5" w:rsidRDefault="007F0E28" w:rsidP="00297515">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D0FF5" w14:paraId="5747FDEA" w14:textId="77777777" w:rsidTr="008B5354">
        <w:tc>
          <w:tcPr>
            <w:tcW w:w="9180" w:type="dxa"/>
          </w:tcPr>
          <w:p w14:paraId="5EC58E31" w14:textId="77777777" w:rsidR="002B3CC5" w:rsidRDefault="007F0E28" w:rsidP="00841251">
            <w:pPr>
              <w:pStyle w:val="Header"/>
            </w:pPr>
          </w:p>
          <w:p w14:paraId="5BECDE1E" w14:textId="77777777" w:rsidR="002B3CC5" w:rsidRPr="002B3CC5" w:rsidRDefault="00EE2B18" w:rsidP="00841251">
            <w:pPr>
              <w:pStyle w:val="Heading6"/>
              <w:rPr>
                <w:rFonts w:ascii="Arial" w:hAnsi="Arial"/>
                <w:b/>
                <w:color w:val="auto"/>
              </w:rPr>
            </w:pPr>
            <w:r w:rsidRPr="002B3CC5">
              <w:rPr>
                <w:rFonts w:ascii="Arial" w:hAnsi="Arial"/>
                <w:b/>
                <w:color w:val="auto"/>
              </w:rPr>
              <w:t>Executive Summary</w:t>
            </w:r>
          </w:p>
          <w:p w14:paraId="29120974" w14:textId="77777777" w:rsidR="002B3CC5" w:rsidRPr="002B3CC5" w:rsidRDefault="007F0E28" w:rsidP="00841251">
            <w:pPr>
              <w:rPr>
                <w:color w:val="auto"/>
              </w:rPr>
            </w:pPr>
          </w:p>
          <w:p w14:paraId="6A51AE09" w14:textId="77777777" w:rsidR="00300FEB" w:rsidRDefault="00EE2B18" w:rsidP="00297515">
            <w:pPr>
              <w:spacing w:after="160" w:line="259" w:lineRule="auto"/>
              <w:ind w:left="0" w:firstLine="0"/>
              <w:rPr>
                <w:rFonts w:eastAsiaTheme="minorHAnsi"/>
                <w:color w:val="auto"/>
                <w:lang w:eastAsia="en-US"/>
              </w:rPr>
            </w:pPr>
            <w:r w:rsidRPr="00297515">
              <w:rPr>
                <w:rFonts w:eastAsiaTheme="minorHAnsi"/>
                <w:color w:val="auto"/>
                <w:lang w:eastAsia="en-US"/>
              </w:rPr>
              <w:t>This paper seeks approval for the development plans for the ESFA Opt-in projects in Lancashire</w:t>
            </w:r>
            <w:r w:rsidR="00300FEB">
              <w:rPr>
                <w:rFonts w:eastAsiaTheme="minorHAnsi"/>
                <w:color w:val="auto"/>
                <w:lang w:eastAsia="en-US"/>
              </w:rPr>
              <w:t>:</w:t>
            </w:r>
          </w:p>
          <w:p w14:paraId="6ACC20B4" w14:textId="2B1253ED" w:rsidR="00300FEB" w:rsidRDefault="00300FEB" w:rsidP="00300FEB">
            <w:pPr>
              <w:pStyle w:val="ListParagraph"/>
              <w:numPr>
                <w:ilvl w:val="0"/>
                <w:numId w:val="9"/>
              </w:numPr>
              <w:spacing w:after="160" w:line="259" w:lineRule="auto"/>
              <w:rPr>
                <w:rFonts w:eastAsiaTheme="minorHAnsi"/>
                <w:color w:val="auto"/>
                <w:lang w:eastAsia="en-US"/>
              </w:rPr>
            </w:pPr>
            <w:r w:rsidRPr="00AE2617">
              <w:rPr>
                <w:rFonts w:eastAsiaTheme="minorHAnsi"/>
                <w:color w:val="auto"/>
                <w:lang w:eastAsia="en-US"/>
              </w:rPr>
              <w:t xml:space="preserve">NEET ('Moving On') </w:t>
            </w:r>
            <w:r>
              <w:rPr>
                <w:rFonts w:eastAsiaTheme="minorHAnsi"/>
                <w:color w:val="auto"/>
                <w:lang w:eastAsia="en-US"/>
              </w:rPr>
              <w:t xml:space="preserve">- </w:t>
            </w:r>
            <w:r w:rsidRPr="00AE2617">
              <w:rPr>
                <w:rFonts w:eastAsiaTheme="minorHAnsi"/>
                <w:color w:val="auto"/>
                <w:lang w:eastAsia="en-US"/>
              </w:rPr>
              <w:t>A</w:t>
            </w:r>
            <w:r>
              <w:rPr>
                <w:rFonts w:eastAsiaTheme="minorHAnsi"/>
                <w:color w:val="auto"/>
                <w:lang w:eastAsia="en-US"/>
              </w:rPr>
              <w:t>ppendix A</w:t>
            </w:r>
          </w:p>
          <w:p w14:paraId="3B72851B" w14:textId="77777777" w:rsidR="007F0E28" w:rsidRDefault="007F0E28" w:rsidP="007F0E28">
            <w:pPr>
              <w:pStyle w:val="ListParagraph"/>
              <w:numPr>
                <w:ilvl w:val="0"/>
                <w:numId w:val="9"/>
              </w:numPr>
              <w:spacing w:after="160" w:line="259" w:lineRule="auto"/>
              <w:rPr>
                <w:rFonts w:eastAsiaTheme="minorHAnsi"/>
                <w:color w:val="auto"/>
                <w:lang w:eastAsia="en-US"/>
              </w:rPr>
            </w:pPr>
            <w:r w:rsidRPr="006D5CD9">
              <w:rPr>
                <w:rFonts w:eastAsiaTheme="minorHAnsi"/>
                <w:color w:val="auto"/>
                <w:lang w:eastAsia="en-US"/>
              </w:rPr>
              <w:t xml:space="preserve">Skills Support for the Unemployed ('Access to Employment') </w:t>
            </w:r>
            <w:r>
              <w:rPr>
                <w:rFonts w:eastAsiaTheme="minorHAnsi"/>
                <w:color w:val="auto"/>
                <w:lang w:eastAsia="en-US"/>
              </w:rPr>
              <w:t xml:space="preserve"> - Appendix B</w:t>
            </w:r>
          </w:p>
          <w:p w14:paraId="038A3171" w14:textId="7A7D7B63" w:rsidR="00300FEB" w:rsidRPr="007F0E28" w:rsidRDefault="00EE2B18" w:rsidP="007F0E28">
            <w:pPr>
              <w:pStyle w:val="ListParagraph"/>
              <w:numPr>
                <w:ilvl w:val="0"/>
                <w:numId w:val="9"/>
              </w:numPr>
              <w:spacing w:after="160" w:line="259" w:lineRule="auto"/>
              <w:rPr>
                <w:rFonts w:eastAsiaTheme="minorHAnsi"/>
                <w:color w:val="auto"/>
                <w:lang w:eastAsia="en-US"/>
              </w:rPr>
            </w:pPr>
            <w:r w:rsidRPr="007F0E28">
              <w:rPr>
                <w:rFonts w:eastAsiaTheme="minorHAnsi"/>
                <w:color w:val="auto"/>
                <w:lang w:eastAsia="en-US"/>
              </w:rPr>
              <w:t>Skills Support for the Workforce</w:t>
            </w:r>
            <w:r w:rsidR="00300FEB">
              <w:rPr>
                <w:rFonts w:eastAsiaTheme="minorHAnsi"/>
                <w:color w:val="auto"/>
                <w:lang w:eastAsia="en-US"/>
              </w:rPr>
              <w:t xml:space="preserve"> - Appendix C</w:t>
            </w:r>
          </w:p>
          <w:p w14:paraId="340177D7" w14:textId="46FCB86A" w:rsidR="00297515" w:rsidRPr="007F0E28" w:rsidRDefault="00EE2B18" w:rsidP="007F0E28">
            <w:pPr>
              <w:spacing w:after="160" w:line="259" w:lineRule="auto"/>
              <w:ind w:left="25" w:firstLine="0"/>
              <w:rPr>
                <w:rFonts w:eastAsiaTheme="minorHAnsi"/>
                <w:color w:val="auto"/>
                <w:lang w:eastAsia="en-US"/>
              </w:rPr>
            </w:pPr>
            <w:r w:rsidRPr="007F0E28">
              <w:rPr>
                <w:rFonts w:eastAsiaTheme="minorHAnsi"/>
                <w:color w:val="auto"/>
                <w:lang w:eastAsia="en-US"/>
              </w:rPr>
              <w:t>The development and approval of a plan is a requirement of the contract specification for each of these projects between the provider and the ESFA.</w:t>
            </w:r>
          </w:p>
          <w:p w14:paraId="375F3EA2" w14:textId="77777777" w:rsidR="002B3CC5" w:rsidRPr="002B3CC5" w:rsidRDefault="00EE2B18" w:rsidP="00841251">
            <w:pPr>
              <w:pStyle w:val="Heading5"/>
              <w:rPr>
                <w:rFonts w:ascii="Arial" w:hAnsi="Arial"/>
                <w:b/>
                <w:color w:val="auto"/>
              </w:rPr>
            </w:pPr>
            <w:r w:rsidRPr="002B3CC5">
              <w:rPr>
                <w:rFonts w:ascii="Arial" w:hAnsi="Arial"/>
                <w:b/>
                <w:color w:val="auto"/>
              </w:rPr>
              <w:t>Recommendation</w:t>
            </w:r>
          </w:p>
          <w:p w14:paraId="5BF2AA49" w14:textId="77777777" w:rsidR="002B3CC5" w:rsidRDefault="007F0E28" w:rsidP="00297515"/>
          <w:p w14:paraId="2CACF59A" w14:textId="6773FE1B" w:rsidR="00297515" w:rsidRPr="007F0E28" w:rsidRDefault="00EE2B18" w:rsidP="007F0E28">
            <w:pPr>
              <w:spacing w:after="160" w:line="259" w:lineRule="auto"/>
              <w:ind w:left="0" w:firstLine="0"/>
              <w:rPr>
                <w:rFonts w:eastAsiaTheme="minorHAnsi"/>
                <w:color w:val="auto"/>
                <w:lang w:eastAsia="en-US"/>
              </w:rPr>
            </w:pPr>
            <w:r w:rsidRPr="00297515">
              <w:rPr>
                <w:rFonts w:eastAsiaTheme="minorHAnsi"/>
                <w:color w:val="auto"/>
                <w:lang w:eastAsia="en-US"/>
              </w:rPr>
              <w:t>The committee is asked to</w:t>
            </w:r>
            <w:r w:rsidR="00300FEB">
              <w:rPr>
                <w:rFonts w:eastAsiaTheme="minorHAnsi"/>
                <w:color w:val="auto"/>
                <w:lang w:eastAsia="en-US"/>
              </w:rPr>
              <w:t xml:space="preserve"> a</w:t>
            </w:r>
            <w:r w:rsidRPr="007F0E28">
              <w:rPr>
                <w:rFonts w:eastAsiaTheme="minorHAnsi"/>
                <w:color w:val="auto"/>
                <w:lang w:eastAsia="en-US"/>
              </w:rPr>
              <w:t>pprove the Development Plans for the ESFA Opt-in projects Skills Support for the Workforce, Skills Support for the Unemployed and NEET.</w:t>
            </w:r>
          </w:p>
          <w:p w14:paraId="0256CECB" w14:textId="77777777" w:rsidR="00297515" w:rsidRDefault="007F0E28" w:rsidP="00297515"/>
        </w:tc>
      </w:tr>
    </w:tbl>
    <w:p w14:paraId="7FE4CE60" w14:textId="77777777" w:rsidR="002B3CC5" w:rsidRDefault="007F0E28" w:rsidP="002B3CC5">
      <w:pPr>
        <w:pStyle w:val="Header"/>
      </w:pPr>
    </w:p>
    <w:p w14:paraId="07CE3DF4" w14:textId="77777777" w:rsidR="00A3358A" w:rsidRDefault="00EE2B18" w:rsidP="00A3358A">
      <w:pPr>
        <w:rPr>
          <w:b/>
        </w:rPr>
      </w:pPr>
      <w:r>
        <w:rPr>
          <w:b/>
        </w:rPr>
        <w:t xml:space="preserve">Background and Advice </w:t>
      </w:r>
    </w:p>
    <w:p w14:paraId="0E2B5D89" w14:textId="77777777" w:rsidR="00A3358A" w:rsidRDefault="007F0E28" w:rsidP="00A3358A">
      <w:pPr>
        <w:rPr>
          <w:b/>
        </w:rPr>
      </w:pPr>
    </w:p>
    <w:p w14:paraId="30B00479" w14:textId="3CC4D115" w:rsidR="00297515" w:rsidRPr="007F0E28" w:rsidRDefault="00EE2B18" w:rsidP="007F0E28">
      <w:pPr>
        <w:pStyle w:val="ListParagraph"/>
        <w:numPr>
          <w:ilvl w:val="0"/>
          <w:numId w:val="8"/>
        </w:numPr>
        <w:spacing w:after="160" w:line="259" w:lineRule="auto"/>
        <w:ind w:left="709" w:hanging="785"/>
        <w:jc w:val="both"/>
        <w:rPr>
          <w:rFonts w:eastAsiaTheme="minorHAnsi"/>
          <w:b/>
          <w:color w:val="auto"/>
          <w:lang w:eastAsia="en-US"/>
        </w:rPr>
      </w:pPr>
      <w:r w:rsidRPr="007F0E28">
        <w:rPr>
          <w:rFonts w:eastAsiaTheme="minorHAnsi"/>
          <w:b/>
          <w:color w:val="auto"/>
          <w:lang w:eastAsia="en-US"/>
        </w:rPr>
        <w:t>Background</w:t>
      </w:r>
    </w:p>
    <w:p w14:paraId="6BA8562B" w14:textId="77777777" w:rsidR="00297515" w:rsidRPr="00297515" w:rsidRDefault="007F0E28" w:rsidP="00297515">
      <w:pPr>
        <w:spacing w:after="160" w:line="259" w:lineRule="auto"/>
        <w:ind w:left="720" w:firstLine="0"/>
        <w:contextualSpacing/>
        <w:jc w:val="both"/>
        <w:rPr>
          <w:rFonts w:eastAsiaTheme="minorHAnsi"/>
          <w:b/>
          <w:color w:val="auto"/>
          <w:lang w:eastAsia="en-US"/>
        </w:rPr>
      </w:pPr>
    </w:p>
    <w:p w14:paraId="33FEA303" w14:textId="77777777" w:rsidR="00297515" w:rsidRPr="00297515" w:rsidRDefault="00EE2B18" w:rsidP="007F0E28">
      <w:pPr>
        <w:numPr>
          <w:ilvl w:val="1"/>
          <w:numId w:val="5"/>
        </w:numPr>
        <w:spacing w:after="160" w:line="259" w:lineRule="auto"/>
        <w:ind w:left="709"/>
        <w:contextualSpacing/>
        <w:jc w:val="both"/>
        <w:rPr>
          <w:rFonts w:eastAsiaTheme="minorHAnsi"/>
          <w:color w:val="auto"/>
          <w:lang w:eastAsia="en-US"/>
        </w:rPr>
      </w:pPr>
      <w:r w:rsidRPr="00297515">
        <w:rPr>
          <w:rFonts w:eastAsiaTheme="minorHAnsi"/>
          <w:color w:val="auto"/>
          <w:lang w:eastAsia="en-US"/>
        </w:rPr>
        <w:t xml:space="preserve">The Education and Skills Funding Agency (ESFA) is a national opt-in Agency for European Social Funds (ESF).  The ESFA match fund the ESF programme nationally to enable local ESF funds to be drawn down for local project activity.  </w:t>
      </w:r>
      <w:r w:rsidRPr="00297515">
        <w:rPr>
          <w:rFonts w:eastAsiaTheme="minorHAnsi"/>
          <w:color w:val="auto"/>
          <w:lang w:eastAsia="en-US"/>
        </w:rPr>
        <w:lastRenderedPageBreak/>
        <w:t>LEPs allocate funds from their local ESF allocations to enable projects to be procured and contract managed by the ESFA under the opt-in.  LEPs provide a steer on strategic priorities</w:t>
      </w:r>
      <w:r w:rsidR="000525D3">
        <w:rPr>
          <w:rFonts w:eastAsiaTheme="minorHAnsi"/>
          <w:color w:val="auto"/>
          <w:lang w:eastAsia="en-US"/>
        </w:rPr>
        <w:t xml:space="preserve"> as per the Strategic Economic Plan and Lancashire Skills and Employment Strategic Framework</w:t>
      </w:r>
      <w:r w:rsidRPr="00297515">
        <w:rPr>
          <w:rFonts w:eastAsiaTheme="minorHAnsi"/>
          <w:color w:val="auto"/>
          <w:lang w:eastAsia="en-US"/>
        </w:rPr>
        <w:t xml:space="preserve"> and in Lancashire, have established local Steering Groups to ensure that activity is aligned with strategic priorities. </w:t>
      </w:r>
    </w:p>
    <w:p w14:paraId="4AC07970" w14:textId="77777777" w:rsidR="00297515" w:rsidRPr="00297515" w:rsidRDefault="007F0E28" w:rsidP="007F0E28">
      <w:pPr>
        <w:spacing w:after="160" w:line="259" w:lineRule="auto"/>
        <w:ind w:left="709" w:firstLine="0"/>
        <w:contextualSpacing/>
        <w:jc w:val="both"/>
        <w:rPr>
          <w:rFonts w:eastAsiaTheme="minorHAnsi"/>
          <w:color w:val="auto"/>
          <w:lang w:eastAsia="en-US"/>
        </w:rPr>
      </w:pPr>
    </w:p>
    <w:p w14:paraId="54FFA53D" w14:textId="77777777" w:rsidR="00297515" w:rsidRPr="00297515" w:rsidRDefault="00EE2B18" w:rsidP="007F0E28">
      <w:pPr>
        <w:numPr>
          <w:ilvl w:val="1"/>
          <w:numId w:val="5"/>
        </w:numPr>
        <w:spacing w:after="160" w:line="259" w:lineRule="auto"/>
        <w:ind w:left="709"/>
        <w:contextualSpacing/>
        <w:jc w:val="both"/>
        <w:rPr>
          <w:rFonts w:eastAsiaTheme="minorHAnsi"/>
          <w:color w:val="000000" w:themeColor="text1"/>
          <w:lang w:eastAsia="en-US"/>
        </w:rPr>
      </w:pPr>
      <w:r w:rsidRPr="00297515">
        <w:rPr>
          <w:rFonts w:eastAsiaTheme="minorHAnsi"/>
          <w:color w:val="auto"/>
          <w:lang w:eastAsia="en-US"/>
        </w:rPr>
        <w:t xml:space="preserve">Under the previous opt-in programmes which ran from 2016 to 31 March 2019 there was a requirement for Engagement Activity/Capacity Building Plans.  These plans had a specific funding allocation totalling £1.01m across 3 projects.  The plans included and delivered activity such as the Lancashire Labour Market Toolkit, the Lancashire Pilot Skills Pledge, the Escalate System, the Opportunities Map, research projects, and capacity development programmes for delivery staff (including several sessions on mental health awareness).  </w:t>
      </w:r>
      <w:r w:rsidRPr="00297515">
        <w:rPr>
          <w:rFonts w:eastAsiaTheme="minorHAnsi"/>
          <w:color w:val="000000" w:themeColor="text1"/>
          <w:lang w:eastAsia="en-US"/>
        </w:rPr>
        <w:t>A specific amount of funding was included in each plan for the three Strategic Partnership manager positions. The Strategic Partnership Manager roles were intended:</w:t>
      </w:r>
    </w:p>
    <w:p w14:paraId="6E72F00C" w14:textId="77777777" w:rsidR="00297515" w:rsidRPr="00297515" w:rsidRDefault="00EE2B18" w:rsidP="007F0E28">
      <w:pPr>
        <w:numPr>
          <w:ilvl w:val="0"/>
          <w:numId w:val="6"/>
        </w:numPr>
        <w:spacing w:after="160" w:line="259" w:lineRule="auto"/>
        <w:ind w:left="993"/>
        <w:contextualSpacing/>
        <w:jc w:val="both"/>
        <w:rPr>
          <w:rFonts w:eastAsiaTheme="minorHAnsi"/>
          <w:color w:val="000000" w:themeColor="text1"/>
          <w:lang w:eastAsia="en-US"/>
        </w:rPr>
      </w:pPr>
      <w:r w:rsidRPr="00297515">
        <w:rPr>
          <w:rFonts w:eastAsiaTheme="minorHAnsi"/>
          <w:color w:val="000000" w:themeColor="text1"/>
          <w:lang w:eastAsia="en-US"/>
        </w:rPr>
        <w:t xml:space="preserve">to ensure local priorities were addressed by the projects in-line with the evidence base and Skills and Employment Strategic Framework </w:t>
      </w:r>
    </w:p>
    <w:p w14:paraId="4A6FE2DC" w14:textId="77777777" w:rsidR="00297515" w:rsidRPr="00297515" w:rsidRDefault="00EE2B18" w:rsidP="007F0E28">
      <w:pPr>
        <w:numPr>
          <w:ilvl w:val="0"/>
          <w:numId w:val="6"/>
        </w:numPr>
        <w:spacing w:after="160" w:line="259" w:lineRule="auto"/>
        <w:ind w:left="993"/>
        <w:contextualSpacing/>
        <w:jc w:val="both"/>
        <w:rPr>
          <w:rFonts w:eastAsiaTheme="minorHAnsi"/>
          <w:color w:val="000000" w:themeColor="text1"/>
          <w:lang w:eastAsia="en-US"/>
        </w:rPr>
      </w:pPr>
      <w:r w:rsidRPr="00297515">
        <w:rPr>
          <w:rFonts w:eastAsiaTheme="minorHAnsi"/>
          <w:color w:val="000000" w:themeColor="text1"/>
          <w:lang w:eastAsia="en-US"/>
        </w:rPr>
        <w:t>to promote the availability of the projects and liaise with key agencies such as Jobcentre Plus, business groups, local authorities and other key stakeholders</w:t>
      </w:r>
    </w:p>
    <w:p w14:paraId="415EFE58" w14:textId="77777777" w:rsidR="00297515" w:rsidRPr="00297515" w:rsidRDefault="00EE2B18" w:rsidP="007F0E28">
      <w:pPr>
        <w:numPr>
          <w:ilvl w:val="0"/>
          <w:numId w:val="6"/>
        </w:numPr>
        <w:spacing w:after="160" w:line="259" w:lineRule="auto"/>
        <w:ind w:left="993"/>
        <w:contextualSpacing/>
        <w:jc w:val="both"/>
        <w:rPr>
          <w:rFonts w:eastAsiaTheme="minorHAnsi"/>
          <w:color w:val="000000" w:themeColor="text1"/>
          <w:lang w:eastAsia="en-US"/>
        </w:rPr>
      </w:pPr>
      <w:r w:rsidRPr="00297515">
        <w:rPr>
          <w:rFonts w:eastAsiaTheme="minorHAnsi"/>
          <w:color w:val="000000" w:themeColor="text1"/>
          <w:lang w:eastAsia="en-US"/>
        </w:rPr>
        <w:t>to ensure that projects added value and were complementary to each other and to mainstream provision, and to aid effective referrals</w:t>
      </w:r>
    </w:p>
    <w:p w14:paraId="74504970" w14:textId="77777777" w:rsidR="00297515" w:rsidRPr="00297515" w:rsidRDefault="00EE2B18" w:rsidP="007F0E28">
      <w:pPr>
        <w:numPr>
          <w:ilvl w:val="0"/>
          <w:numId w:val="6"/>
        </w:numPr>
        <w:spacing w:after="160" w:line="259" w:lineRule="auto"/>
        <w:ind w:left="993"/>
        <w:contextualSpacing/>
        <w:jc w:val="both"/>
        <w:rPr>
          <w:rFonts w:eastAsiaTheme="minorHAnsi"/>
          <w:b/>
          <w:color w:val="000000" w:themeColor="text1"/>
          <w:lang w:eastAsia="en-US"/>
        </w:rPr>
      </w:pPr>
      <w:proofErr w:type="gramStart"/>
      <w:r w:rsidRPr="00297515">
        <w:rPr>
          <w:rFonts w:eastAsiaTheme="minorHAnsi"/>
          <w:color w:val="000000" w:themeColor="text1"/>
          <w:lang w:eastAsia="en-US"/>
        </w:rPr>
        <w:t>to</w:t>
      </w:r>
      <w:proofErr w:type="gramEnd"/>
      <w:r w:rsidRPr="00297515">
        <w:rPr>
          <w:rFonts w:eastAsiaTheme="minorHAnsi"/>
          <w:color w:val="000000" w:themeColor="text1"/>
          <w:lang w:eastAsia="en-US"/>
        </w:rPr>
        <w:t xml:space="preserve"> form and chair steering groups for the projects, bringing together key stakeholders.</w:t>
      </w:r>
    </w:p>
    <w:p w14:paraId="471E34DD" w14:textId="77777777" w:rsidR="00297515" w:rsidRPr="00297515" w:rsidRDefault="007F0E28" w:rsidP="007F0E28">
      <w:pPr>
        <w:spacing w:after="160" w:line="259" w:lineRule="auto"/>
        <w:ind w:left="709" w:firstLine="0"/>
        <w:contextualSpacing/>
        <w:jc w:val="both"/>
        <w:rPr>
          <w:rFonts w:eastAsiaTheme="minorHAnsi"/>
          <w:b/>
          <w:color w:val="000000" w:themeColor="text1"/>
          <w:lang w:eastAsia="en-US"/>
        </w:rPr>
      </w:pPr>
    </w:p>
    <w:p w14:paraId="6CDEE0C4" w14:textId="77777777" w:rsidR="00297515" w:rsidRPr="00297515" w:rsidRDefault="00EE2B18" w:rsidP="007F0E28">
      <w:pPr>
        <w:numPr>
          <w:ilvl w:val="1"/>
          <w:numId w:val="5"/>
        </w:numPr>
        <w:spacing w:after="160" w:line="259" w:lineRule="auto"/>
        <w:ind w:left="709"/>
        <w:contextualSpacing/>
        <w:jc w:val="both"/>
        <w:rPr>
          <w:rFonts w:eastAsiaTheme="minorHAnsi"/>
          <w:b/>
          <w:color w:val="auto"/>
          <w:lang w:eastAsia="en-US"/>
        </w:rPr>
      </w:pPr>
      <w:r w:rsidRPr="00297515">
        <w:rPr>
          <w:rFonts w:eastAsiaTheme="minorHAnsi"/>
          <w:color w:val="auto"/>
          <w:lang w:eastAsia="en-US"/>
        </w:rPr>
        <w:t>New projects for Skills Support for the Workforce, Skills Support for the Unemployed and NEET, were recommissioned by the ESFA with the new contracts commencing on 1</w:t>
      </w:r>
      <w:r w:rsidRPr="00297515">
        <w:rPr>
          <w:rFonts w:eastAsiaTheme="minorHAnsi"/>
          <w:color w:val="auto"/>
          <w:vertAlign w:val="superscript"/>
          <w:lang w:eastAsia="en-US"/>
        </w:rPr>
        <w:t>st</w:t>
      </w:r>
      <w:r w:rsidRPr="00297515">
        <w:rPr>
          <w:rFonts w:eastAsiaTheme="minorHAnsi"/>
          <w:color w:val="auto"/>
          <w:lang w:eastAsia="en-US"/>
        </w:rPr>
        <w:t xml:space="preserve"> April 2019.  The previous tenders were locally developed and had significant LEP input, the new tenders were nationally developed by the ESFA and contained limited local input.  This resulted in a reduction in funds allocated to capacity building and an expectation that any development activity would be embedded in the delivery plan. </w:t>
      </w:r>
    </w:p>
    <w:p w14:paraId="3D61C147" w14:textId="77777777" w:rsidR="00297515" w:rsidRPr="00297515" w:rsidRDefault="007F0E28" w:rsidP="007F0E28">
      <w:pPr>
        <w:spacing w:after="160" w:line="259" w:lineRule="auto"/>
        <w:ind w:left="709" w:firstLine="0"/>
        <w:contextualSpacing/>
        <w:jc w:val="both"/>
        <w:rPr>
          <w:rFonts w:eastAsiaTheme="minorHAnsi"/>
          <w:b/>
          <w:color w:val="auto"/>
          <w:lang w:eastAsia="en-US"/>
        </w:rPr>
      </w:pPr>
    </w:p>
    <w:p w14:paraId="6A40A738" w14:textId="225B0351" w:rsidR="00297515" w:rsidRPr="007F0E28" w:rsidRDefault="00EE2B18" w:rsidP="007F0E28">
      <w:pPr>
        <w:numPr>
          <w:ilvl w:val="1"/>
          <w:numId w:val="5"/>
        </w:numPr>
        <w:spacing w:after="160" w:line="259" w:lineRule="auto"/>
        <w:ind w:left="709"/>
        <w:contextualSpacing/>
        <w:jc w:val="both"/>
        <w:rPr>
          <w:rFonts w:eastAsiaTheme="minorHAnsi"/>
          <w:b/>
          <w:color w:val="auto"/>
          <w:lang w:eastAsia="en-US"/>
        </w:rPr>
      </w:pPr>
      <w:r w:rsidRPr="00297515">
        <w:rPr>
          <w:rFonts w:eastAsiaTheme="minorHAnsi"/>
          <w:color w:val="auto"/>
          <w:lang w:eastAsia="en-US"/>
        </w:rPr>
        <w:t xml:space="preserve">The previous provider for NEET (Preston's College) was awarded the new contract, Skills Support for the Workforce was awarded to The Growth Company, Manchester and Skills Support for the Unemployed was awarded to </w:t>
      </w:r>
      <w:proofErr w:type="spellStart"/>
      <w:r w:rsidRPr="00297515">
        <w:rPr>
          <w:rFonts w:eastAsiaTheme="minorHAnsi"/>
          <w:color w:val="auto"/>
          <w:lang w:eastAsia="en-US"/>
        </w:rPr>
        <w:t>PeoplePlus</w:t>
      </w:r>
      <w:proofErr w:type="spellEnd"/>
      <w:r w:rsidRPr="00297515">
        <w:rPr>
          <w:rFonts w:eastAsiaTheme="minorHAnsi"/>
          <w:color w:val="auto"/>
          <w:lang w:eastAsia="en-US"/>
        </w:rPr>
        <w:t>.</w:t>
      </w:r>
    </w:p>
    <w:p w14:paraId="189AEF41" w14:textId="04638394" w:rsidR="00ED73EB" w:rsidRPr="00EC7AC4" w:rsidRDefault="00ED73EB" w:rsidP="007F0E28">
      <w:pPr>
        <w:spacing w:after="160" w:line="259" w:lineRule="auto"/>
        <w:ind w:left="0" w:firstLine="0"/>
        <w:contextualSpacing/>
        <w:jc w:val="both"/>
        <w:rPr>
          <w:rFonts w:eastAsiaTheme="minorHAnsi"/>
          <w:b/>
          <w:color w:val="auto"/>
          <w:lang w:eastAsia="en-US"/>
        </w:rPr>
      </w:pPr>
    </w:p>
    <w:p w14:paraId="4D5BF4CC" w14:textId="77777777" w:rsidR="00EC7AC4" w:rsidRPr="00297515" w:rsidRDefault="007F0E28" w:rsidP="00EC7AC4">
      <w:pPr>
        <w:spacing w:after="160" w:line="259" w:lineRule="auto"/>
        <w:ind w:left="0" w:firstLine="0"/>
        <w:contextualSpacing/>
        <w:jc w:val="both"/>
        <w:rPr>
          <w:rFonts w:eastAsiaTheme="minorHAnsi"/>
          <w:b/>
          <w:color w:val="auto"/>
          <w:lang w:eastAsia="en-US"/>
        </w:rPr>
      </w:pPr>
    </w:p>
    <w:p w14:paraId="5BCB0DB3" w14:textId="544929A9" w:rsidR="00297515" w:rsidRPr="00297515" w:rsidRDefault="00EE2B18" w:rsidP="00297515">
      <w:pPr>
        <w:spacing w:after="160" w:line="259" w:lineRule="auto"/>
        <w:ind w:left="0" w:firstLine="0"/>
        <w:jc w:val="both"/>
        <w:rPr>
          <w:rFonts w:eastAsiaTheme="minorHAnsi"/>
          <w:b/>
          <w:color w:val="auto"/>
          <w:lang w:eastAsia="en-US"/>
        </w:rPr>
      </w:pPr>
      <w:r w:rsidRPr="00297515">
        <w:rPr>
          <w:rFonts w:eastAsiaTheme="minorHAnsi"/>
          <w:b/>
          <w:color w:val="auto"/>
          <w:lang w:eastAsia="en-US"/>
        </w:rPr>
        <w:t>2</w:t>
      </w:r>
      <w:r w:rsidR="00ED73EB">
        <w:rPr>
          <w:rFonts w:eastAsiaTheme="minorHAnsi"/>
          <w:b/>
          <w:color w:val="auto"/>
          <w:lang w:eastAsia="en-US"/>
        </w:rPr>
        <w:tab/>
      </w:r>
      <w:r w:rsidRPr="00297515">
        <w:rPr>
          <w:rFonts w:eastAsiaTheme="minorHAnsi"/>
          <w:b/>
          <w:color w:val="auto"/>
          <w:lang w:eastAsia="en-US"/>
        </w:rPr>
        <w:t xml:space="preserve"> Development Plans</w:t>
      </w:r>
    </w:p>
    <w:p w14:paraId="17D972D5" w14:textId="77777777" w:rsidR="00297515" w:rsidRPr="00297515" w:rsidRDefault="00EE2B18" w:rsidP="007F0E28">
      <w:pPr>
        <w:spacing w:after="160" w:line="259" w:lineRule="auto"/>
        <w:ind w:left="709" w:hanging="720"/>
        <w:jc w:val="both"/>
        <w:rPr>
          <w:rFonts w:eastAsiaTheme="minorHAnsi"/>
          <w:b/>
          <w:color w:val="auto"/>
          <w:lang w:eastAsia="en-US"/>
        </w:rPr>
      </w:pPr>
      <w:r w:rsidRPr="007F0E28">
        <w:rPr>
          <w:rFonts w:eastAsiaTheme="minorHAnsi"/>
          <w:color w:val="auto"/>
          <w:lang w:eastAsia="en-US"/>
        </w:rPr>
        <w:t>2.1</w:t>
      </w:r>
      <w:r w:rsidRPr="00297515">
        <w:rPr>
          <w:rFonts w:eastAsiaTheme="minorHAnsi"/>
          <w:b/>
          <w:color w:val="auto"/>
          <w:lang w:eastAsia="en-US"/>
        </w:rPr>
        <w:tab/>
      </w:r>
      <w:r w:rsidRPr="00297515">
        <w:rPr>
          <w:rFonts w:eastAsiaTheme="minorHAnsi"/>
          <w:color w:val="auto"/>
          <w:lang w:eastAsia="en-US"/>
        </w:rPr>
        <w:t xml:space="preserve">Whilst the capacity building and development plans for the previous projects were developed locally, the ESFA has issued a template to all new projects for completion of development plans.  The completed templates for all three projects are attached. </w:t>
      </w:r>
    </w:p>
    <w:p w14:paraId="0C1710F3" w14:textId="77777777" w:rsidR="00297515" w:rsidRPr="00297515" w:rsidRDefault="00EE2B18" w:rsidP="007F0E28">
      <w:pPr>
        <w:spacing w:after="160" w:line="259" w:lineRule="auto"/>
        <w:ind w:left="709" w:hanging="720"/>
        <w:jc w:val="both"/>
        <w:rPr>
          <w:rFonts w:eastAsiaTheme="minorHAnsi"/>
          <w:color w:val="auto"/>
          <w:lang w:eastAsia="en-US"/>
        </w:rPr>
      </w:pPr>
      <w:r w:rsidRPr="007F0E28">
        <w:rPr>
          <w:rFonts w:eastAsiaTheme="minorHAnsi"/>
          <w:color w:val="auto"/>
          <w:lang w:eastAsia="en-US"/>
        </w:rPr>
        <w:lastRenderedPageBreak/>
        <w:t>2.2</w:t>
      </w:r>
      <w:r w:rsidRPr="00297515">
        <w:rPr>
          <w:rFonts w:eastAsiaTheme="minorHAnsi"/>
          <w:b/>
          <w:color w:val="auto"/>
          <w:lang w:eastAsia="en-US"/>
        </w:rPr>
        <w:tab/>
      </w:r>
      <w:r w:rsidRPr="00297515">
        <w:rPr>
          <w:rFonts w:eastAsiaTheme="minorHAnsi"/>
          <w:color w:val="auto"/>
          <w:lang w:eastAsia="en-US"/>
        </w:rPr>
        <w:t xml:space="preserve">In the previous round of projects, additional funding lines were awarded for capacity/development plans for Skills Support for the Workforce and Skills Support for the Unemployed.  This was quite a considerable budget of £490,000 and £375,000. There was no such funding line for the NEET project.  In the new round, and as reported at previous committee meetings, there is only £20,000 for Skills Support for the Workforce and no such funding line for either Skills Support for the Unemployed or NEET.  </w:t>
      </w:r>
    </w:p>
    <w:p w14:paraId="6BF1FD43" w14:textId="0FB77F35" w:rsidR="00297515" w:rsidRPr="00297515" w:rsidRDefault="00EE2B18" w:rsidP="007F0E28">
      <w:pPr>
        <w:spacing w:after="160" w:line="259" w:lineRule="auto"/>
        <w:ind w:left="709" w:hanging="720"/>
        <w:jc w:val="both"/>
        <w:rPr>
          <w:rFonts w:eastAsiaTheme="minorHAnsi"/>
          <w:color w:val="auto"/>
          <w:lang w:eastAsia="en-US"/>
        </w:rPr>
      </w:pPr>
      <w:r w:rsidRPr="007F0E28">
        <w:rPr>
          <w:rFonts w:eastAsiaTheme="minorHAnsi"/>
          <w:color w:val="auto"/>
          <w:lang w:eastAsia="en-US"/>
        </w:rPr>
        <w:t>2.3</w:t>
      </w:r>
      <w:r w:rsidRPr="00297515">
        <w:rPr>
          <w:rFonts w:eastAsiaTheme="minorHAnsi"/>
          <w:b/>
          <w:color w:val="auto"/>
          <w:lang w:eastAsia="en-US"/>
        </w:rPr>
        <w:tab/>
      </w:r>
      <w:r w:rsidRPr="00297515">
        <w:rPr>
          <w:rFonts w:eastAsiaTheme="minorHAnsi"/>
          <w:color w:val="auto"/>
          <w:lang w:eastAsia="en-US"/>
        </w:rPr>
        <w:t>As the role of the Strategic Partnership Manager has been seen to add value to the previous projects, the Director of the Skills and Employment Hub negotiated with the providers of the new projects to retain this as a full time position for the larger projects (Skills Support for the Workforce and Skills Support for the Unemployed) and as an 0.2 FTE for the smaller NEET project (previously 0.4 FTE).</w:t>
      </w:r>
      <w:r>
        <w:rPr>
          <w:rFonts w:eastAsiaTheme="minorHAnsi"/>
          <w:color w:val="auto"/>
          <w:lang w:eastAsia="en-US"/>
        </w:rPr>
        <w:t xml:space="preserve">  The accountable bodies employ the managers and deploy the resource to the Skills &amp; Employment Hub.</w:t>
      </w:r>
    </w:p>
    <w:p w14:paraId="3D8DDC04" w14:textId="77777777" w:rsidR="00297515" w:rsidRPr="00297515" w:rsidRDefault="00EE2B18" w:rsidP="007F0E28">
      <w:pPr>
        <w:spacing w:after="160" w:line="259" w:lineRule="auto"/>
        <w:ind w:left="709" w:hanging="720"/>
        <w:jc w:val="both"/>
        <w:rPr>
          <w:rFonts w:eastAsiaTheme="minorHAnsi"/>
          <w:color w:val="auto"/>
          <w:lang w:eastAsia="en-US"/>
        </w:rPr>
      </w:pPr>
      <w:r w:rsidRPr="007F0E28">
        <w:rPr>
          <w:rFonts w:eastAsiaTheme="minorHAnsi"/>
          <w:color w:val="auto"/>
          <w:lang w:eastAsia="en-US"/>
        </w:rPr>
        <w:t>2.4</w:t>
      </w:r>
      <w:r w:rsidRPr="00297515">
        <w:rPr>
          <w:rFonts w:eastAsiaTheme="minorHAnsi"/>
          <w:b/>
          <w:color w:val="auto"/>
          <w:lang w:eastAsia="en-US"/>
        </w:rPr>
        <w:tab/>
      </w:r>
      <w:r w:rsidRPr="00297515">
        <w:rPr>
          <w:rFonts w:eastAsiaTheme="minorHAnsi"/>
          <w:color w:val="auto"/>
          <w:lang w:eastAsia="en-US"/>
        </w:rPr>
        <w:t>The remainder of the activities in the development plans have been agreed between the provider, the Strategic Partnership Managers and the Skills and Employment Hub Director as desirable and achievable outcomes, given the reduced resources available.</w:t>
      </w:r>
    </w:p>
    <w:p w14:paraId="063E55DB" w14:textId="77D65571" w:rsidR="00297515" w:rsidRDefault="00EE2B18" w:rsidP="007F0E28">
      <w:pPr>
        <w:spacing w:after="160" w:line="259" w:lineRule="auto"/>
        <w:ind w:left="709" w:hanging="720"/>
        <w:jc w:val="both"/>
        <w:rPr>
          <w:rFonts w:eastAsiaTheme="minorHAnsi"/>
          <w:color w:val="auto"/>
          <w:lang w:eastAsia="en-US"/>
        </w:rPr>
      </w:pPr>
      <w:r w:rsidRPr="007F0E28">
        <w:rPr>
          <w:rFonts w:eastAsiaTheme="minorHAnsi"/>
          <w:color w:val="auto"/>
          <w:lang w:eastAsia="en-US"/>
        </w:rPr>
        <w:t>2.5</w:t>
      </w:r>
      <w:r w:rsidRPr="00297515">
        <w:rPr>
          <w:rFonts w:eastAsiaTheme="minorHAnsi"/>
          <w:b/>
          <w:color w:val="auto"/>
          <w:lang w:eastAsia="en-US"/>
        </w:rPr>
        <w:tab/>
      </w:r>
      <w:r w:rsidRPr="00297515">
        <w:rPr>
          <w:rFonts w:eastAsiaTheme="minorHAnsi"/>
          <w:color w:val="auto"/>
          <w:lang w:eastAsia="en-US"/>
        </w:rPr>
        <w:t>With the retention of the Strategic Partnership Managers and the realisation of these new development plans, it is expected that the momentum of the previous projects will be carried forward for the benefit of residents, employees and businesses of Lancashire.</w:t>
      </w:r>
    </w:p>
    <w:p w14:paraId="7498BB6C" w14:textId="77777777" w:rsidR="00ED73EB" w:rsidRPr="00297515" w:rsidRDefault="00ED73EB" w:rsidP="007F0E28">
      <w:pPr>
        <w:spacing w:after="160" w:line="259" w:lineRule="auto"/>
        <w:ind w:left="709" w:hanging="720"/>
        <w:jc w:val="both"/>
        <w:rPr>
          <w:rFonts w:eastAsiaTheme="minorHAnsi"/>
          <w:color w:val="auto"/>
          <w:lang w:eastAsia="en-US"/>
        </w:rPr>
      </w:pPr>
    </w:p>
    <w:p w14:paraId="20706237" w14:textId="6C41037B" w:rsidR="00297515" w:rsidRPr="00297515" w:rsidRDefault="00EE2B18" w:rsidP="00297515">
      <w:pPr>
        <w:spacing w:after="160" w:line="259" w:lineRule="auto"/>
        <w:ind w:left="0" w:firstLine="0"/>
        <w:rPr>
          <w:rFonts w:eastAsiaTheme="minorHAnsi"/>
          <w:b/>
          <w:color w:val="auto"/>
          <w:lang w:eastAsia="en-US"/>
        </w:rPr>
      </w:pPr>
      <w:proofErr w:type="gramStart"/>
      <w:r>
        <w:rPr>
          <w:rFonts w:eastAsiaTheme="minorHAnsi"/>
          <w:b/>
          <w:color w:val="auto"/>
          <w:lang w:eastAsia="en-US"/>
        </w:rPr>
        <w:t xml:space="preserve">3  </w:t>
      </w:r>
      <w:r w:rsidRPr="00297515">
        <w:rPr>
          <w:rFonts w:eastAsiaTheme="minorHAnsi"/>
          <w:b/>
          <w:color w:val="auto"/>
          <w:lang w:eastAsia="en-US"/>
        </w:rPr>
        <w:t>Recommendations</w:t>
      </w:r>
      <w:proofErr w:type="gramEnd"/>
    </w:p>
    <w:p w14:paraId="12749F8A" w14:textId="77777777" w:rsidR="00297515" w:rsidRPr="00297515" w:rsidRDefault="00EE2B18" w:rsidP="007F0E28">
      <w:pPr>
        <w:spacing w:after="160" w:line="259" w:lineRule="auto"/>
        <w:ind w:left="709" w:hanging="720"/>
        <w:rPr>
          <w:rFonts w:eastAsiaTheme="minorHAnsi"/>
          <w:color w:val="auto"/>
          <w:lang w:eastAsia="en-US"/>
        </w:rPr>
      </w:pPr>
      <w:r>
        <w:rPr>
          <w:rFonts w:eastAsiaTheme="minorHAnsi"/>
          <w:color w:val="auto"/>
          <w:lang w:eastAsia="en-US"/>
        </w:rPr>
        <w:t>3.1</w:t>
      </w:r>
      <w:r>
        <w:rPr>
          <w:rFonts w:eastAsiaTheme="minorHAnsi"/>
          <w:color w:val="auto"/>
          <w:lang w:eastAsia="en-US"/>
        </w:rPr>
        <w:tab/>
        <w:t>The Panel is asked to a</w:t>
      </w:r>
      <w:r w:rsidRPr="00297515">
        <w:rPr>
          <w:rFonts w:eastAsiaTheme="minorHAnsi"/>
          <w:color w:val="auto"/>
          <w:lang w:eastAsia="en-US"/>
        </w:rPr>
        <w:t>pprove the Development Plans for the ESFA Opt-in projects Skills Support for the Workforce, Skills Support for the Unemployed and NEET.</w:t>
      </w:r>
    </w:p>
    <w:p w14:paraId="1F193685" w14:textId="77777777" w:rsidR="00297515" w:rsidRPr="00297515" w:rsidRDefault="007F0E28" w:rsidP="00297515">
      <w:pPr>
        <w:spacing w:after="160" w:line="259" w:lineRule="auto"/>
        <w:ind w:left="0" w:firstLine="0"/>
        <w:jc w:val="both"/>
        <w:rPr>
          <w:rFonts w:eastAsiaTheme="minorHAnsi"/>
          <w:b/>
          <w:color w:val="auto"/>
          <w:lang w:eastAsia="en-US"/>
        </w:rPr>
      </w:pPr>
    </w:p>
    <w:p w14:paraId="254D4770" w14:textId="77777777" w:rsidR="00386D34" w:rsidRDefault="007F0E28"/>
    <w:p w14:paraId="20BA533B" w14:textId="77777777" w:rsidR="00987EB4" w:rsidRPr="00ED571D" w:rsidRDefault="00EE2B18"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14:paraId="2717B31C" w14:textId="77777777" w:rsidR="00987EB4" w:rsidRPr="00ED571D" w:rsidRDefault="007F0E28" w:rsidP="00987EB4"/>
    <w:tbl>
      <w:tblPr>
        <w:tblW w:w="0" w:type="auto"/>
        <w:tblLayout w:type="fixed"/>
        <w:tblLook w:val="0000" w:firstRow="0" w:lastRow="0" w:firstColumn="0" w:lastColumn="0" w:noHBand="0" w:noVBand="0"/>
      </w:tblPr>
      <w:tblGrid>
        <w:gridCol w:w="3510"/>
        <w:gridCol w:w="2492"/>
        <w:gridCol w:w="3178"/>
      </w:tblGrid>
      <w:tr w:rsidR="00CD0FF5" w14:paraId="06EEC2D4" w14:textId="77777777" w:rsidTr="00331DDF">
        <w:tc>
          <w:tcPr>
            <w:tcW w:w="3510" w:type="dxa"/>
          </w:tcPr>
          <w:p w14:paraId="533F073F" w14:textId="77777777" w:rsidR="00987EB4" w:rsidRPr="00ED571D" w:rsidRDefault="00EE2B18"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14:paraId="3405E011" w14:textId="77777777" w:rsidR="00987EB4" w:rsidRPr="00ED571D" w:rsidRDefault="00EE2B18"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14:paraId="6071C065" w14:textId="77777777" w:rsidR="00987EB4" w:rsidRPr="00ED571D" w:rsidRDefault="00EE2B18"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CD0FF5" w14:paraId="07C8FE81" w14:textId="77777777" w:rsidTr="00331DDF">
        <w:tc>
          <w:tcPr>
            <w:tcW w:w="3510" w:type="dxa"/>
          </w:tcPr>
          <w:p w14:paraId="10B4F438" w14:textId="77777777" w:rsidR="00987EB4" w:rsidRPr="00ED571D" w:rsidRDefault="007F0E28" w:rsidP="00331DDF">
            <w:pPr>
              <w:rPr>
                <w:color w:val="auto"/>
              </w:rPr>
            </w:pPr>
          </w:p>
          <w:p w14:paraId="0909BA79" w14:textId="77777777" w:rsidR="00987EB4" w:rsidRPr="00ED571D" w:rsidRDefault="00EE2B18" w:rsidP="00331DDF">
            <w:pPr>
              <w:rPr>
                <w:color w:val="auto"/>
              </w:rPr>
            </w:pPr>
            <w:r>
              <w:rPr>
                <w:color w:val="auto"/>
              </w:rPr>
              <w:t>N/A</w:t>
            </w:r>
          </w:p>
          <w:p w14:paraId="55437B4A" w14:textId="77777777" w:rsidR="00987EB4" w:rsidRPr="00ED571D" w:rsidRDefault="007F0E28" w:rsidP="00331DDF">
            <w:pPr>
              <w:rPr>
                <w:color w:val="auto"/>
              </w:rPr>
            </w:pPr>
          </w:p>
        </w:tc>
        <w:tc>
          <w:tcPr>
            <w:tcW w:w="2492" w:type="dxa"/>
          </w:tcPr>
          <w:p w14:paraId="18DD9CBA" w14:textId="77777777" w:rsidR="00987EB4" w:rsidRPr="00ED571D" w:rsidRDefault="007F0E28" w:rsidP="00331DDF">
            <w:pPr>
              <w:rPr>
                <w:color w:val="auto"/>
              </w:rPr>
            </w:pPr>
          </w:p>
        </w:tc>
        <w:tc>
          <w:tcPr>
            <w:tcW w:w="3178" w:type="dxa"/>
          </w:tcPr>
          <w:p w14:paraId="08D2530E" w14:textId="77777777" w:rsidR="00987EB4" w:rsidRPr="00ED571D" w:rsidRDefault="007F0E28" w:rsidP="00331DDF">
            <w:pPr>
              <w:rPr>
                <w:color w:val="auto"/>
              </w:rPr>
            </w:pPr>
          </w:p>
        </w:tc>
      </w:tr>
      <w:tr w:rsidR="00CD0FF5" w14:paraId="2FFD67DC" w14:textId="77777777" w:rsidTr="00331DDF">
        <w:trPr>
          <w:cantSplit/>
        </w:trPr>
        <w:tc>
          <w:tcPr>
            <w:tcW w:w="9180" w:type="dxa"/>
            <w:gridSpan w:val="3"/>
          </w:tcPr>
          <w:p w14:paraId="44D85A1A" w14:textId="77777777" w:rsidR="00987EB4" w:rsidRPr="00ED571D" w:rsidRDefault="007F0E28" w:rsidP="00331DDF"/>
          <w:p w14:paraId="3B057CF9" w14:textId="77777777" w:rsidR="00987EB4" w:rsidRPr="00ED571D" w:rsidRDefault="00EE2B18" w:rsidP="00331DDF">
            <w:r w:rsidRPr="00ED571D">
              <w:t xml:space="preserve">Reason for inclusion in Part II, if appropriate </w:t>
            </w:r>
          </w:p>
          <w:p w14:paraId="5C983B04" w14:textId="77777777" w:rsidR="00987EB4" w:rsidRPr="00ED571D" w:rsidRDefault="007F0E28" w:rsidP="00331DDF"/>
          <w:p w14:paraId="571CEB22" w14:textId="77777777" w:rsidR="00987EB4" w:rsidRPr="00ED571D" w:rsidRDefault="00EE2B18" w:rsidP="00331DDF">
            <w:pPr>
              <w:rPr>
                <w:color w:val="auto"/>
              </w:rPr>
            </w:pPr>
            <w:r w:rsidRPr="00ED571D">
              <w:rPr>
                <w:color w:val="auto"/>
              </w:rPr>
              <w:fldChar w:fldCharType="begin">
                <w:ffData>
                  <w:name w:val="Text13"/>
                  <w:enabled/>
                  <w:calcOnExit w:val="0"/>
                  <w:textInput>
                    <w:default w:val="insert details"/>
                  </w:textInput>
                </w:ffData>
              </w:fldChar>
            </w:r>
            <w:r w:rsidRPr="00ED571D">
              <w:rPr>
                <w:color w:val="auto"/>
              </w:rPr>
              <w:instrText xml:space="preserve"> FORMTEXT </w:instrText>
            </w:r>
            <w:r w:rsidRPr="00ED571D">
              <w:rPr>
                <w:color w:val="auto"/>
              </w:rPr>
            </w:r>
            <w:r w:rsidRPr="00ED571D">
              <w:rPr>
                <w:color w:val="auto"/>
              </w:rPr>
              <w:fldChar w:fldCharType="separate"/>
            </w:r>
            <w:r w:rsidRPr="00ED571D">
              <w:rPr>
                <w:noProof/>
                <w:color w:val="auto"/>
              </w:rPr>
              <w:t>insert details</w:t>
            </w:r>
            <w:r w:rsidRPr="00ED571D">
              <w:rPr>
                <w:color w:val="auto"/>
              </w:rPr>
              <w:fldChar w:fldCharType="end"/>
            </w:r>
          </w:p>
          <w:p w14:paraId="0B7559A9" w14:textId="77777777" w:rsidR="00987EB4" w:rsidRPr="00ED571D" w:rsidRDefault="007F0E28" w:rsidP="00331DDF">
            <w:pPr>
              <w:jc w:val="both"/>
            </w:pPr>
          </w:p>
        </w:tc>
      </w:tr>
    </w:tbl>
    <w:p w14:paraId="278636FE" w14:textId="77777777" w:rsidR="00987EB4" w:rsidRDefault="007F0E28"/>
    <w:sectPr w:rsidR="00987E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8A31" w14:textId="77777777" w:rsidR="00F922DF" w:rsidRDefault="00EE2B18">
      <w:pPr>
        <w:spacing w:after="0" w:line="240" w:lineRule="auto"/>
      </w:pPr>
      <w:r>
        <w:separator/>
      </w:r>
    </w:p>
  </w:endnote>
  <w:endnote w:type="continuationSeparator" w:id="0">
    <w:p w14:paraId="169E9BC6" w14:textId="77777777" w:rsidR="00F922DF" w:rsidRDefault="00EE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299C" w14:textId="77777777" w:rsidR="00F922DF" w:rsidRDefault="00EE2B18">
      <w:pPr>
        <w:spacing w:after="0" w:line="240" w:lineRule="auto"/>
      </w:pPr>
      <w:r>
        <w:separator/>
      </w:r>
    </w:p>
  </w:footnote>
  <w:footnote w:type="continuationSeparator" w:id="0">
    <w:p w14:paraId="10C8A387" w14:textId="77777777" w:rsidR="00F922DF" w:rsidRDefault="00EE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6579" w14:textId="77777777" w:rsidR="00CF1133" w:rsidRDefault="00EE2B18">
    <w:pPr>
      <w:pStyle w:val="Header"/>
    </w:pPr>
    <w:r>
      <w:rPr>
        <w:noProof/>
      </w:rPr>
      <w:drawing>
        <wp:anchor distT="0" distB="0" distL="114300" distR="114300" simplePos="0" relativeHeight="251658240" behindDoc="0" locked="0" layoutInCell="1" allowOverlap="1" wp14:anchorId="650460B9" wp14:editId="73FF9715">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961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AAA"/>
    <w:multiLevelType w:val="multilevel"/>
    <w:tmpl w:val="DFC407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8CB64CC"/>
    <w:multiLevelType w:val="hybridMultilevel"/>
    <w:tmpl w:val="26969E96"/>
    <w:lvl w:ilvl="0" w:tplc="8154D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2CD441E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2944B8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33054B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33C639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634E6A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56CB32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6E8110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9C023D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FC262E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2D607ABD"/>
    <w:multiLevelType w:val="hybridMultilevel"/>
    <w:tmpl w:val="07D4CCEA"/>
    <w:lvl w:ilvl="0" w:tplc="F27AD7B6">
      <w:start w:val="1"/>
      <w:numFmt w:val="bullet"/>
      <w:lvlText w:val=""/>
      <w:lvlJc w:val="left"/>
      <w:pPr>
        <w:ind w:left="2160" w:hanging="360"/>
      </w:pPr>
      <w:rPr>
        <w:rFonts w:ascii="Symbol" w:hAnsi="Symbol" w:hint="default"/>
      </w:rPr>
    </w:lvl>
    <w:lvl w:ilvl="1" w:tplc="14402DE2" w:tentative="1">
      <w:start w:val="1"/>
      <w:numFmt w:val="bullet"/>
      <w:lvlText w:val="o"/>
      <w:lvlJc w:val="left"/>
      <w:pPr>
        <w:ind w:left="2880" w:hanging="360"/>
      </w:pPr>
      <w:rPr>
        <w:rFonts w:ascii="Courier New" w:hAnsi="Courier New" w:cs="Courier New" w:hint="default"/>
      </w:rPr>
    </w:lvl>
    <w:lvl w:ilvl="2" w:tplc="9E78F16C" w:tentative="1">
      <w:start w:val="1"/>
      <w:numFmt w:val="bullet"/>
      <w:lvlText w:val=""/>
      <w:lvlJc w:val="left"/>
      <w:pPr>
        <w:ind w:left="3600" w:hanging="360"/>
      </w:pPr>
      <w:rPr>
        <w:rFonts w:ascii="Wingdings" w:hAnsi="Wingdings" w:hint="default"/>
      </w:rPr>
    </w:lvl>
    <w:lvl w:ilvl="3" w:tplc="462EA912" w:tentative="1">
      <w:start w:val="1"/>
      <w:numFmt w:val="bullet"/>
      <w:lvlText w:val=""/>
      <w:lvlJc w:val="left"/>
      <w:pPr>
        <w:ind w:left="4320" w:hanging="360"/>
      </w:pPr>
      <w:rPr>
        <w:rFonts w:ascii="Symbol" w:hAnsi="Symbol" w:hint="default"/>
      </w:rPr>
    </w:lvl>
    <w:lvl w:ilvl="4" w:tplc="912E115E" w:tentative="1">
      <w:start w:val="1"/>
      <w:numFmt w:val="bullet"/>
      <w:lvlText w:val="o"/>
      <w:lvlJc w:val="left"/>
      <w:pPr>
        <w:ind w:left="5040" w:hanging="360"/>
      </w:pPr>
      <w:rPr>
        <w:rFonts w:ascii="Courier New" w:hAnsi="Courier New" w:cs="Courier New" w:hint="default"/>
      </w:rPr>
    </w:lvl>
    <w:lvl w:ilvl="5" w:tplc="BABC4C24" w:tentative="1">
      <w:start w:val="1"/>
      <w:numFmt w:val="bullet"/>
      <w:lvlText w:val=""/>
      <w:lvlJc w:val="left"/>
      <w:pPr>
        <w:ind w:left="5760" w:hanging="360"/>
      </w:pPr>
      <w:rPr>
        <w:rFonts w:ascii="Wingdings" w:hAnsi="Wingdings" w:hint="default"/>
      </w:rPr>
    </w:lvl>
    <w:lvl w:ilvl="6" w:tplc="94DE801A" w:tentative="1">
      <w:start w:val="1"/>
      <w:numFmt w:val="bullet"/>
      <w:lvlText w:val=""/>
      <w:lvlJc w:val="left"/>
      <w:pPr>
        <w:ind w:left="6480" w:hanging="360"/>
      </w:pPr>
      <w:rPr>
        <w:rFonts w:ascii="Symbol" w:hAnsi="Symbol" w:hint="default"/>
      </w:rPr>
    </w:lvl>
    <w:lvl w:ilvl="7" w:tplc="CC0450F2" w:tentative="1">
      <w:start w:val="1"/>
      <w:numFmt w:val="bullet"/>
      <w:lvlText w:val="o"/>
      <w:lvlJc w:val="left"/>
      <w:pPr>
        <w:ind w:left="7200" w:hanging="360"/>
      </w:pPr>
      <w:rPr>
        <w:rFonts w:ascii="Courier New" w:hAnsi="Courier New" w:cs="Courier New" w:hint="default"/>
      </w:rPr>
    </w:lvl>
    <w:lvl w:ilvl="8" w:tplc="BA804788" w:tentative="1">
      <w:start w:val="1"/>
      <w:numFmt w:val="bullet"/>
      <w:lvlText w:val=""/>
      <w:lvlJc w:val="left"/>
      <w:pPr>
        <w:ind w:left="792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4C0D4250"/>
    <w:multiLevelType w:val="multilevel"/>
    <w:tmpl w:val="5AE2F8C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8D25B0"/>
    <w:multiLevelType w:val="hybridMultilevel"/>
    <w:tmpl w:val="06149B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65954286"/>
    <w:multiLevelType w:val="hybridMultilevel"/>
    <w:tmpl w:val="7E26EC88"/>
    <w:lvl w:ilvl="0" w:tplc="D3D88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F5"/>
    <w:rsid w:val="000525D3"/>
    <w:rsid w:val="00300FEB"/>
    <w:rsid w:val="007F0E28"/>
    <w:rsid w:val="00CD0FF5"/>
    <w:rsid w:val="00ED73EB"/>
    <w:rsid w:val="00EE2B18"/>
    <w:rsid w:val="00F9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B2C8"/>
  <w15:docId w15:val="{A34CD3E4-86C4-489A-8409-58C8F95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297515"/>
    <w:rPr>
      <w:color w:val="0563C1" w:themeColor="hyperlink"/>
      <w:u w:val="single"/>
    </w:rPr>
  </w:style>
  <w:style w:type="character" w:styleId="CommentReference">
    <w:name w:val="annotation reference"/>
    <w:basedOn w:val="DefaultParagraphFont"/>
    <w:uiPriority w:val="99"/>
    <w:semiHidden/>
    <w:unhideWhenUsed/>
    <w:rsid w:val="0001641F"/>
    <w:rPr>
      <w:sz w:val="16"/>
      <w:szCs w:val="16"/>
    </w:rPr>
  </w:style>
  <w:style w:type="paragraph" w:styleId="CommentText">
    <w:name w:val="annotation text"/>
    <w:basedOn w:val="Normal"/>
    <w:link w:val="CommentTextChar"/>
    <w:uiPriority w:val="99"/>
    <w:semiHidden/>
    <w:unhideWhenUsed/>
    <w:rsid w:val="0001641F"/>
    <w:pPr>
      <w:spacing w:line="240" w:lineRule="auto"/>
    </w:pPr>
    <w:rPr>
      <w:sz w:val="20"/>
      <w:szCs w:val="20"/>
    </w:rPr>
  </w:style>
  <w:style w:type="character" w:customStyle="1" w:styleId="CommentTextChar">
    <w:name w:val="Comment Text Char"/>
    <w:basedOn w:val="DefaultParagraphFont"/>
    <w:link w:val="CommentText"/>
    <w:uiPriority w:val="99"/>
    <w:semiHidden/>
    <w:rsid w:val="0001641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1641F"/>
    <w:rPr>
      <w:b/>
      <w:bCs/>
    </w:rPr>
  </w:style>
  <w:style w:type="character" w:customStyle="1" w:styleId="CommentSubjectChar">
    <w:name w:val="Comment Subject Char"/>
    <w:basedOn w:val="CommentTextChar"/>
    <w:link w:val="CommentSubject"/>
    <w:uiPriority w:val="99"/>
    <w:semiHidden/>
    <w:rsid w:val="0001641F"/>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01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1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heyes@lancashirele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et.jackson@lancashirelep.co.uk" TargetMode="External"/><Relationship Id="rId4" Type="http://schemas.openxmlformats.org/officeDocument/2006/relationships/settings" Target="settings.xml"/><Relationship Id="rId9" Type="http://schemas.openxmlformats.org/officeDocument/2006/relationships/hyperlink" Target="mailto:sara.gaskell@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7C16-4489-4E58-9191-46843C3D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12</cp:revision>
  <dcterms:created xsi:type="dcterms:W3CDTF">2015-06-25T10:41:00Z</dcterms:created>
  <dcterms:modified xsi:type="dcterms:W3CDTF">2019-06-05T08:32:00Z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European Social Funds (ESF) – Education and Skills Funding Agency (ESFA) Opt-in Projects Development Plans</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12 June 2019</vt:lpwstr>
  </property>
</Properties>
</file>